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F15CD" w14:textId="63E17F82" w:rsidR="00B00EFA" w:rsidRDefault="00FC0AA6">
      <w:pPr>
        <w:rPr>
          <w:b/>
          <w:bCs/>
          <w:u w:val="single"/>
        </w:rPr>
      </w:pPr>
      <w:r w:rsidRPr="00FC0AA6">
        <w:rPr>
          <w:b/>
          <w:bCs/>
          <w:u w:val="single"/>
        </w:rPr>
        <w:t>Factores que imposibilitan utilizar actualmente el</w:t>
      </w:r>
      <w:r>
        <w:rPr>
          <w:b/>
          <w:bCs/>
          <w:u w:val="single"/>
        </w:rPr>
        <w:t xml:space="preserve"> factor anual de actualización tarifaria</w:t>
      </w:r>
      <w:r w:rsidRPr="00FC0AA6">
        <w:rPr>
          <w:b/>
          <w:bCs/>
          <w:u w:val="single"/>
        </w:rPr>
        <w:t xml:space="preserve"> (</w:t>
      </w:r>
      <w:r w:rsidR="00FE02FA">
        <w:rPr>
          <w:b/>
          <w:bCs/>
          <w:u w:val="single"/>
        </w:rPr>
        <w:t xml:space="preserve">factor cuadrito - </w:t>
      </w:r>
      <w:r w:rsidRPr="00FC0AA6">
        <w:rPr>
          <w:b/>
          <w:bCs/>
          <w:u w:val="single"/>
        </w:rPr>
        <w:t>actualización tarifa por IPC):</w:t>
      </w:r>
    </w:p>
    <w:p w14:paraId="25E75822" w14:textId="77777777" w:rsidR="00FC0AA6" w:rsidRDefault="00FC0AA6">
      <w:pPr>
        <w:rPr>
          <w:b/>
          <w:bCs/>
          <w:u w:val="single"/>
        </w:rPr>
      </w:pPr>
    </w:p>
    <w:p w14:paraId="4C55C2B2" w14:textId="7E281D6B" w:rsidR="00FC0AA6" w:rsidRPr="00FC0AA6" w:rsidRDefault="00FC0AA6" w:rsidP="00FC0AA6">
      <w:pPr>
        <w:pStyle w:val="Prrafodelista"/>
        <w:numPr>
          <w:ilvl w:val="0"/>
          <w:numId w:val="1"/>
        </w:numPr>
        <w:jc w:val="both"/>
        <w:rPr>
          <w:b/>
          <w:bCs/>
          <w:u w:val="single"/>
        </w:rPr>
      </w:pPr>
      <w:r>
        <w:t xml:space="preserve">Este año en particular el IPC ha estado mucho más elevado que los años anteriores, hay un desequilibrio sustancial en ello. </w:t>
      </w:r>
      <w:proofErr w:type="gramStart"/>
      <w:r>
        <w:t>Además</w:t>
      </w:r>
      <w:proofErr w:type="gramEnd"/>
      <w:r>
        <w:t xml:space="preserve"> implica que durante varios años se ha aplicado el IPC como factor de “descarte” lo que ya implica un resultado acumulado injustificado.</w:t>
      </w:r>
    </w:p>
    <w:p w14:paraId="11AA2F59" w14:textId="77777777" w:rsidR="00FC0AA6" w:rsidRPr="00FC0AA6" w:rsidRDefault="00FC0AA6" w:rsidP="00FC0AA6">
      <w:pPr>
        <w:pStyle w:val="Prrafodelista"/>
        <w:jc w:val="both"/>
        <w:rPr>
          <w:b/>
          <w:bCs/>
          <w:u w:val="single"/>
        </w:rPr>
      </w:pPr>
    </w:p>
    <w:p w14:paraId="1160FA15" w14:textId="30115E93" w:rsidR="00FC0AA6" w:rsidRDefault="00FC0AA6" w:rsidP="00FC0AA6">
      <w:pPr>
        <w:pStyle w:val="Prrafodelista"/>
        <w:numPr>
          <w:ilvl w:val="0"/>
          <w:numId w:val="1"/>
        </w:numPr>
        <w:jc w:val="both"/>
      </w:pPr>
      <w:r>
        <w:t>Haberse suspendido una parte importante de la metodología tarifaria, por razones y justificaciones de fondo relacionadas con su obsolescencia e inaplicabilidad técnico-económica, generan que tampoco se pueda utilizar el factor cuadrito (IPC). Ello dado que la metodología es una sola, incluido el factor cuadrito (IPC). Las mismas razones que generaron la suspensión de gran parte de la metodología justifican la suspensión del factor cuadrito.</w:t>
      </w:r>
    </w:p>
    <w:p w14:paraId="5D211E8B" w14:textId="77777777" w:rsidR="00FC0AA6" w:rsidRDefault="00FC0AA6" w:rsidP="00FC0AA6">
      <w:pPr>
        <w:pStyle w:val="Prrafodelista"/>
      </w:pPr>
    </w:p>
    <w:p w14:paraId="2DAE583C" w14:textId="68D2A62B" w:rsidR="00FC0AA6" w:rsidRDefault="00FC0AA6" w:rsidP="00FC0AA6">
      <w:pPr>
        <w:pStyle w:val="Prrafodelista"/>
        <w:numPr>
          <w:ilvl w:val="0"/>
          <w:numId w:val="1"/>
        </w:numPr>
        <w:jc w:val="both"/>
      </w:pPr>
      <w:r>
        <w:t>El factor anual de actualización tarifaria (factor cuadrito) no resulta aplicable al año tarifario 2026-2027, debido a que el componente K ya completó su período de recuperación al 30 de junio de 2026 (ya en este momento es imposible aplicarlo).</w:t>
      </w:r>
    </w:p>
    <w:p w14:paraId="147BB976" w14:textId="77777777" w:rsidR="00FC0AA6" w:rsidRDefault="00FC0AA6" w:rsidP="00FC0AA6">
      <w:pPr>
        <w:pStyle w:val="Prrafodelista"/>
        <w:jc w:val="both"/>
      </w:pPr>
    </w:p>
    <w:p w14:paraId="6986982A" w14:textId="77777777" w:rsidR="00FC0AA6" w:rsidRDefault="00FC0AA6" w:rsidP="00FC0AA6">
      <w:pPr>
        <w:pStyle w:val="Prrafodelista"/>
        <w:jc w:val="both"/>
      </w:pPr>
      <w:r>
        <w:t>Es importante tener en cuenta que la regulación establece que las inversiones hacen parte de la fórmula del componente K únicamente durante el período definido para su recuperación. Una vez cumplido dicho plazo, el componente deja de ser objeto de reconocimiento tarifario.</w:t>
      </w:r>
    </w:p>
    <w:p w14:paraId="6B887B37" w14:textId="77777777" w:rsidR="00FC0AA6" w:rsidRDefault="00FC0AA6" w:rsidP="00FC0AA6">
      <w:pPr>
        <w:pStyle w:val="Prrafodelista"/>
        <w:jc w:val="both"/>
      </w:pPr>
    </w:p>
    <w:p w14:paraId="6DEBE5C3" w14:textId="77777777" w:rsidR="00FC0AA6" w:rsidRDefault="00FC0AA6" w:rsidP="00FC0AA6">
      <w:pPr>
        <w:pStyle w:val="Prrafodelista"/>
        <w:jc w:val="both"/>
      </w:pPr>
      <w:r>
        <w:t xml:space="preserve">Adicionalmente, la normativa señala que el período de recuperación definido para una inversión no puede modificarse una vez establecido. </w:t>
      </w:r>
      <w:r w:rsidRPr="00FC0AA6">
        <w:rPr>
          <w:u w:val="single"/>
        </w:rPr>
        <w:t xml:space="preserve">Por esta razón, extender el reconocimiento de K más allá de la fecha prevista, </w:t>
      </w:r>
      <w:r w:rsidRPr="00FC0AA6">
        <w:rPr>
          <w:b/>
          <w:bCs/>
          <w:u w:val="single"/>
        </w:rPr>
        <w:t>incluso mediante la aplicación de un factor de actualización</w:t>
      </w:r>
      <w:r w:rsidRPr="00FC0AA6">
        <w:rPr>
          <w:u w:val="single"/>
        </w:rPr>
        <w:t>, implicaría en la práctica ampliar un horizonte de recuperación que la regulación expresamente mantiene fijo</w:t>
      </w:r>
      <w:r>
        <w:t>.</w:t>
      </w:r>
    </w:p>
    <w:p w14:paraId="0DDA628D" w14:textId="77777777" w:rsidR="00FC0AA6" w:rsidRDefault="00FC0AA6" w:rsidP="00FC0AA6">
      <w:pPr>
        <w:pStyle w:val="Prrafodelista"/>
        <w:jc w:val="both"/>
      </w:pPr>
    </w:p>
    <w:p w14:paraId="0E0386AE" w14:textId="77777777" w:rsidR="00FC0AA6" w:rsidRDefault="00FC0AA6" w:rsidP="00FE02FA">
      <w:pPr>
        <w:pStyle w:val="Prrafodelista"/>
        <w:jc w:val="both"/>
      </w:pPr>
      <w:r>
        <w:t>También vale la pena tener en cuenta que la metodología tarifaria busca que solo se remuneren inversiones que aún están pendientes de recuperación. En ese sentido, continuar reconociendo este componente después de junio de 2026 no sería consistente con ese principio.</w:t>
      </w:r>
    </w:p>
    <w:p w14:paraId="38527151" w14:textId="77777777" w:rsidR="00FC0AA6" w:rsidRDefault="00FC0AA6" w:rsidP="00FE02FA">
      <w:pPr>
        <w:pStyle w:val="Prrafodelista"/>
        <w:jc w:val="both"/>
      </w:pPr>
    </w:p>
    <w:p w14:paraId="4DD1FB6E" w14:textId="443BC2F0" w:rsidR="00FC0AA6" w:rsidRDefault="00FC0AA6" w:rsidP="00FE02FA">
      <w:pPr>
        <w:pStyle w:val="Prrafodelista"/>
        <w:jc w:val="both"/>
      </w:pPr>
      <w:r>
        <w:t>Por lo anterior, no existe fundamento regulatorio para aplicar el factor anual de actualización tarifaria sobre el componente K durante el año tarifario 2026-2027.</w:t>
      </w:r>
    </w:p>
    <w:p w14:paraId="5350C84D" w14:textId="77777777" w:rsidR="00FC0AA6" w:rsidRPr="00FC0AA6" w:rsidRDefault="00FC0AA6" w:rsidP="00FE02FA">
      <w:pPr>
        <w:pStyle w:val="Prrafodelista"/>
        <w:jc w:val="both"/>
      </w:pPr>
    </w:p>
    <w:sectPr w:rsidR="00FC0AA6" w:rsidRPr="00FC0AA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57B3E"/>
    <w:multiLevelType w:val="hybridMultilevel"/>
    <w:tmpl w:val="C420B9D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0752757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AA6"/>
    <w:rsid w:val="001F0D0A"/>
    <w:rsid w:val="00503081"/>
    <w:rsid w:val="00B00EFA"/>
    <w:rsid w:val="00C628F0"/>
    <w:rsid w:val="00CC4468"/>
    <w:rsid w:val="00DC7BA9"/>
    <w:rsid w:val="00F45B53"/>
    <w:rsid w:val="00FC0AA6"/>
    <w:rsid w:val="00FE02F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522FF"/>
  <w15:chartTrackingRefBased/>
  <w15:docId w15:val="{BDC5C4F4-268F-4D0C-B0EA-B7BFB90A56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FC0AA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FC0AA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FC0AA6"/>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FC0AA6"/>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FC0AA6"/>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FC0AA6"/>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FC0AA6"/>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FC0AA6"/>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FC0AA6"/>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C0AA6"/>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FC0AA6"/>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FC0AA6"/>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FC0AA6"/>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FC0AA6"/>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FC0AA6"/>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FC0AA6"/>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FC0AA6"/>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FC0AA6"/>
    <w:rPr>
      <w:rFonts w:eastAsiaTheme="majorEastAsia" w:cstheme="majorBidi"/>
      <w:color w:val="272727" w:themeColor="text1" w:themeTint="D8"/>
    </w:rPr>
  </w:style>
  <w:style w:type="paragraph" w:styleId="Ttulo">
    <w:name w:val="Title"/>
    <w:basedOn w:val="Normal"/>
    <w:next w:val="Normal"/>
    <w:link w:val="TtuloCar"/>
    <w:uiPriority w:val="10"/>
    <w:qFormat/>
    <w:rsid w:val="00FC0AA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FC0AA6"/>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FC0AA6"/>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FC0AA6"/>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FC0AA6"/>
    <w:pPr>
      <w:spacing w:before="160"/>
      <w:jc w:val="center"/>
    </w:pPr>
    <w:rPr>
      <w:i/>
      <w:iCs/>
      <w:color w:val="404040" w:themeColor="text1" w:themeTint="BF"/>
    </w:rPr>
  </w:style>
  <w:style w:type="character" w:customStyle="1" w:styleId="CitaCar">
    <w:name w:val="Cita Car"/>
    <w:basedOn w:val="Fuentedeprrafopredeter"/>
    <w:link w:val="Cita"/>
    <w:uiPriority w:val="29"/>
    <w:rsid w:val="00FC0AA6"/>
    <w:rPr>
      <w:i/>
      <w:iCs/>
      <w:color w:val="404040" w:themeColor="text1" w:themeTint="BF"/>
    </w:rPr>
  </w:style>
  <w:style w:type="paragraph" w:styleId="Prrafodelista">
    <w:name w:val="List Paragraph"/>
    <w:basedOn w:val="Normal"/>
    <w:uiPriority w:val="34"/>
    <w:qFormat/>
    <w:rsid w:val="00FC0AA6"/>
    <w:pPr>
      <w:ind w:left="720"/>
      <w:contextualSpacing/>
    </w:pPr>
  </w:style>
  <w:style w:type="character" w:styleId="nfasisintenso">
    <w:name w:val="Intense Emphasis"/>
    <w:basedOn w:val="Fuentedeprrafopredeter"/>
    <w:uiPriority w:val="21"/>
    <w:qFormat/>
    <w:rsid w:val="00FC0AA6"/>
    <w:rPr>
      <w:i/>
      <w:iCs/>
      <w:color w:val="0F4761" w:themeColor="accent1" w:themeShade="BF"/>
    </w:rPr>
  </w:style>
  <w:style w:type="paragraph" w:styleId="Citadestacada">
    <w:name w:val="Intense Quote"/>
    <w:basedOn w:val="Normal"/>
    <w:next w:val="Normal"/>
    <w:link w:val="CitadestacadaCar"/>
    <w:uiPriority w:val="30"/>
    <w:qFormat/>
    <w:rsid w:val="00FC0AA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FC0AA6"/>
    <w:rPr>
      <w:i/>
      <w:iCs/>
      <w:color w:val="0F4761" w:themeColor="accent1" w:themeShade="BF"/>
    </w:rPr>
  </w:style>
  <w:style w:type="character" w:styleId="Referenciaintensa">
    <w:name w:val="Intense Reference"/>
    <w:basedOn w:val="Fuentedeprrafopredeter"/>
    <w:uiPriority w:val="32"/>
    <w:qFormat/>
    <w:rsid w:val="00FC0AA6"/>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338</Words>
  <Characters>1862</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 R. Gaviria Araque</dc:creator>
  <cp:keywords/>
  <dc:description/>
  <cp:lastModifiedBy>Cristian R. Gaviria Araque</cp:lastModifiedBy>
  <cp:revision>2</cp:revision>
  <dcterms:created xsi:type="dcterms:W3CDTF">2026-06-25T12:08:00Z</dcterms:created>
  <dcterms:modified xsi:type="dcterms:W3CDTF">2026-06-25T12:08:00Z</dcterms:modified>
</cp:coreProperties>
</file>